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</w:rPr>
        <w:t>附件：2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  <w:t>湖南省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t>第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t>届大学生艺术展演活动艺术表演节目推送汇总表</w:t>
      </w:r>
    </w:p>
    <w:tbl>
      <w:tblPr>
        <w:tblStyle w:val="10"/>
        <w:tblpPr w:leftFromText="180" w:rightFromText="180" w:vertAnchor="text" w:horzAnchor="page" w:tblpXSpec="center" w:tblpY="598"/>
        <w:tblOverlap w:val="never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520"/>
        <w:gridCol w:w="1539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类别和形式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组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3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朗诵</w:t>
            </w:r>
          </w:p>
        </w:tc>
        <w:tc>
          <w:tcPr>
            <w:tcW w:w="35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这束光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3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唐璟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戏剧</w:t>
            </w: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信映山河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3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唐璟</w:t>
            </w:r>
          </w:p>
        </w:tc>
      </w:tr>
    </w:tbl>
    <w:p>
      <w:pPr>
        <w:widowControl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ind w:firstLine="1767" w:firstLineChars="4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ind w:firstLine="1767" w:firstLineChars="4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ind w:firstLine="1767" w:firstLineChars="4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ind w:firstLine="1767" w:firstLineChars="4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ind w:firstLine="1767" w:firstLineChars="4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tabs>
          <w:tab w:val="left" w:pos="1921"/>
        </w:tabs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</w:pPr>
    </w:p>
    <w:p>
      <w:pPr>
        <w:widowControl/>
        <w:ind w:firstLine="1767" w:firstLineChars="4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widowControl/>
        <w:ind w:firstLine="1767" w:firstLineChars="400"/>
        <w:jc w:val="both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  <w:t>湖南省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t>第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t>届大学生艺术展演活动艺术作品推送汇总表</w:t>
      </w:r>
    </w:p>
    <w:p>
      <w:pPr>
        <w:pStyle w:val="2"/>
        <w:jc w:val="center"/>
        <w:rPr>
          <w:rFonts w:hint="eastAsia"/>
          <w:color w:val="auto"/>
        </w:rPr>
      </w:pPr>
    </w:p>
    <w:p>
      <w:pPr>
        <w:pStyle w:val="8"/>
        <w:ind w:left="0" w:leftChars="0" w:firstLine="0" w:firstLineChars="0"/>
        <w:jc w:val="center"/>
        <w:rPr>
          <w:rFonts w:hint="eastAsia"/>
          <w:color w:val="auto"/>
        </w:rPr>
      </w:pPr>
    </w:p>
    <w:tbl>
      <w:tblPr>
        <w:tblStyle w:val="10"/>
        <w:tblW w:w="11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322"/>
        <w:gridCol w:w="2375"/>
        <w:gridCol w:w="150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类别和形式</w:t>
            </w:r>
          </w:p>
        </w:tc>
        <w:tc>
          <w:tcPr>
            <w:tcW w:w="43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作品名称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作者姓名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组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别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画</w:t>
            </w:r>
          </w:p>
        </w:tc>
        <w:tc>
          <w:tcPr>
            <w:tcW w:w="43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鼓韵童声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喻庭隆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  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画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云林山居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陈慧娴、刘艺美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刘琪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画</w:t>
            </w:r>
          </w:p>
        </w:tc>
        <w:tc>
          <w:tcPr>
            <w:tcW w:w="43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云壑清游</w:t>
            </w:r>
          </w:p>
        </w:tc>
        <w:tc>
          <w:tcPr>
            <w:tcW w:w="23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董欣雨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邹明磊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计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墨印滩头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邓佳君、朱静怡</w:t>
            </w:r>
          </w:p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刘缘、谭晨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刘芳、李贺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计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麦西来普—舞蹈文创集市视觉形象设计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甘湘华、</w:t>
            </w:r>
            <w:r>
              <w:rPr>
                <w:rFonts w:hint="eastAsia"/>
                <w:color w:val="auto"/>
                <w:sz w:val="24"/>
                <w:szCs w:val="24"/>
              </w:rPr>
              <w:t>杨婼然梁可臻、张慧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姜太军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姜力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计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南头1820龙鳞装书籍设计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唐哲、刘璐</w:t>
            </w:r>
          </w:p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满媛媛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计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田园夜曲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陈丽缘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寻思远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计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雪域低眸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张子远、颜邦器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张优群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影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茶山春事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何宇轩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邹明磊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影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静水流深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李雅宣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朱福临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影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云栖山畴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谭玲凯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徐韵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视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在你身旁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符迅、郭笑峰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王子豪、金家乐</w:t>
            </w:r>
          </w:p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罗笑、黄海萍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徐韵、刘坚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视</w:t>
            </w:r>
          </w:p>
        </w:tc>
        <w:tc>
          <w:tcPr>
            <w:tcW w:w="4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七音和鸣，一曲天成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李雅宣、周梦瑶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组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郑爱华、</w:t>
            </w:r>
            <w:r>
              <w:rPr>
                <w:rFonts w:hint="eastAsia"/>
                <w:sz w:val="24"/>
                <w:szCs w:val="24"/>
                <w:lang w:eastAsia="zh-CN"/>
              </w:rPr>
              <w:t>彭斯特</w:t>
            </w:r>
          </w:p>
        </w:tc>
      </w:tr>
    </w:tbl>
    <w:p>
      <w:pPr>
        <w:widowControl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widowControl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  <w:t>湖南省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t>第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  <w:t>届大学生艺术展演活动艺术实践工作坊推送汇总表</w:t>
      </w:r>
    </w:p>
    <w:p>
      <w:pPr>
        <w:widowControl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</w:rPr>
      </w:pPr>
    </w:p>
    <w:tbl>
      <w:tblPr>
        <w:tblStyle w:val="10"/>
        <w:tblW w:w="11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2860"/>
        <w:gridCol w:w="2860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7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工坊作品名称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获奖情况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展示项目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70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“创意与艺术”设计实践工作坊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艺术与生活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刘芳、吴寒、王沈策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70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器·象：陶艺工作坊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艺术与生活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郑先觉</w:t>
            </w:r>
            <w:r>
              <w:rPr>
                <w:rFonts w:hint="eastAsia" w:ascii="Times New Roman" w:hAnsi="宋体" w:cs="宋体"/>
                <w:b w:val="0"/>
                <w:bCs w:val="0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宋体" w:eastAsia="宋体" w:cs="宋体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孙兰</w:t>
            </w:r>
            <w:r>
              <w:rPr>
                <w:rFonts w:hint="eastAsia" w:ascii="Times New Roman" w:hAnsi="宋体" w:cs="宋体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宋体" w:eastAsia="宋体" w:cs="宋体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汪浩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6" w:afterLines="80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color w:val="auto"/>
        </w:rPr>
        <w:br w:type="page"/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  <w:t>湖南省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t>第八届大学生艺术展演活动高校美育改革创新优秀案例推送汇总表</w:t>
      </w:r>
    </w:p>
    <w:tbl>
      <w:tblPr>
        <w:tblStyle w:val="10"/>
        <w:tblpPr w:leftFromText="180" w:rightFromText="180" w:vertAnchor="text" w:horzAnchor="page" w:tblpXSpec="center" w:tblpY="972"/>
        <w:tblOverlap w:val="never"/>
        <w:tblW w:w="13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30"/>
        <w:gridCol w:w="3160"/>
        <w:gridCol w:w="1303"/>
        <w:gridCol w:w="2527"/>
        <w:gridCol w:w="2020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案例题目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作者职务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（座机和手机）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AI时代提升高校陶艺教学美育吸引力的策略研究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孙兰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郑先觉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齐白石艺术学院副教授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13789308576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>416810998@qq.com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美育浸润的双向奔赴：高校与社会艺术资源赋能特殊教育的美育协同实践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刘坚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建筑与设计学院辅导员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17707326793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719755382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美育浸润在乡村：艺术赋能乡村美育实践探索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詹玮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王佳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湖南科技大学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齐白石艺术学院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13517324562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414098194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both"/>
        <w:textAlignment w:val="auto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80" w:line="240" w:lineRule="auto"/>
        <w:ind w:firstLine="1767" w:firstLineChars="400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eastAsia="zh-CN"/>
        </w:rPr>
        <w:t>湖南省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t>第八届大学生艺术展演活动高校美育改革创新学术论文推送汇总表</w:t>
      </w:r>
    </w:p>
    <w:tbl>
      <w:tblPr>
        <w:tblStyle w:val="10"/>
        <w:tblpPr w:leftFromText="180" w:rightFromText="180" w:vertAnchor="text" w:horzAnchor="page" w:tblpXSpec="center" w:tblpY="972"/>
        <w:tblOverlap w:val="never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30"/>
        <w:gridCol w:w="3435"/>
        <w:gridCol w:w="1245"/>
        <w:gridCol w:w="2415"/>
        <w:gridCol w:w="1950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作者职务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（座机和手机）</w:t>
            </w:r>
          </w:p>
        </w:tc>
        <w:tc>
          <w:tcPr>
            <w:tcW w:w="2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数字美育新生态视域下高校美术理论课程育人模式实践策略探索——以湖南科技大学为例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原媛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王洪斌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湖南科技大学齐白石艺术学院讲师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13258381067</w:t>
            </w:r>
          </w:p>
        </w:tc>
        <w:tc>
          <w:tcPr>
            <w:tcW w:w="2584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345175581@qq.com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数智赋能·艺创融合：产品设计专业美育育人模式创新与实践——以湖南科技大学为例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刘芳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马缤辉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建筑与设计学院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13786260888</w:t>
            </w:r>
          </w:p>
        </w:tc>
        <w:tc>
          <w:tcPr>
            <w:tcW w:w="2584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4092069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@</w:t>
            </w:r>
            <w:r>
              <w:rPr>
                <w:rFonts w:hint="eastAsia" w:ascii="宋体" w:hAnsi="宋体" w:cs="宋体"/>
                <w:spacing w:val="-10"/>
                <w:sz w:val="24"/>
                <w:szCs w:val="24"/>
                <w:lang w:val="en-US" w:eastAsia="zh-CN"/>
              </w:rPr>
              <w:t>hnust.edu.cn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数智赋能·艺科融合——从数字化建档到人工智能驱动的工业遗产美育实践探索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王顶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建筑与设计学院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19173272727</w:t>
            </w:r>
          </w:p>
        </w:tc>
        <w:tc>
          <w:tcPr>
            <w:tcW w:w="2584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wonder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@</w:t>
            </w:r>
            <w:r>
              <w:rPr>
                <w:rFonts w:hint="eastAsia" w:ascii="宋体" w:hAnsi="宋体" w:cs="宋体"/>
                <w:spacing w:val="-10"/>
                <w:sz w:val="24"/>
                <w:szCs w:val="24"/>
                <w:lang w:val="en-US" w:eastAsia="zh-CN"/>
              </w:rPr>
              <w:t>hnust.edu.cn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/>
        <w:jc w:val="both"/>
        <w:textAlignment w:val="auto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sectPr>
          <w:pgSz w:w="16839" w:h="11906" w:orient="landscape"/>
          <w:pgMar w:top="1593" w:right="1426" w:bottom="1473" w:left="0" w:header="0" w:footer="0" w:gutter="0"/>
          <w:cols w:space="720" w:num="1"/>
        </w:sectPr>
      </w:pPr>
    </w:p>
    <w:p>
      <w:pPr>
        <w:pStyle w:val="3"/>
        <w:spacing w:before="276" w:line="406" w:lineRule="auto"/>
        <w:ind w:right="479"/>
        <w:jc w:val="both"/>
      </w:pPr>
    </w:p>
    <w:sectPr>
      <w:footerReference r:id="rId6" w:type="default"/>
      <w:pgSz w:w="11906" w:h="16839"/>
      <w:pgMar w:top="1431" w:right="1785" w:bottom="1290" w:left="1596" w:header="0" w:footer="9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ascii="宋体" w:hAnsi="宋体" w:eastAsia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0BE73CD"/>
    <w:rsid w:val="7AA37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399</Words>
  <Characters>442</Characters>
  <Lines>0</Lines>
  <Paragraphs>0</Paragraphs>
  <TotalTime>0</TotalTime>
  <ScaleCrop>false</ScaleCrop>
  <LinksUpToDate>false</LinksUpToDate>
  <CharactersWithSpaces>467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2026-05-09T08:29:00Z</dcterms:created>
  <dc:creator>scorching heat</dc:creator>
  <cp:lastModifiedBy>WPS_1730436145</cp:lastModifiedBy>
  <cp:lastPrinted>2026-07-11T17:42:00Z</cp:lastPrinted>
  <dcterms:modified xsi:type="dcterms:W3CDTF">2026-07-11T05:25:43Z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2026-07-11T08:58:00Z</vt:filetime>
  </property>
  <property fmtid="{D5CDD505-2E9C-101B-9397-08002B2CF9AE}" pid="4" name="KSOTemplateDocerSaveRecord">
    <vt:lpwstr>eyJoZGlkIjoiMTgxMjIwNDk3ZGJkMWFiZDg4MDRjYTdiODg5MTc2NGEiLCJ1c2VySWQiOiIxNzk2ODM1ODczIn0=</vt:lpwstr>
  </property>
  <property fmtid="{D5CDD505-2E9C-101B-9397-08002B2CF9AE}" pid="5" name="KSOProductBuildVer">
    <vt:lpwstr>2052-11.1.0.10009</vt:lpwstr>
  </property>
  <property fmtid="{D5CDD505-2E9C-101B-9397-08002B2CF9AE}" pid="6" name="ICV">
    <vt:lpwstr>8B2A3D170452480FB45F51E0F92BCD03_13</vt:lpwstr>
  </property>
</Properties>
</file>